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BE" w:rsidRDefault="00DA37BE">
      <w:bookmarkStart w:id="0" w:name="_GoBack"/>
      <w:bookmarkEnd w:id="0"/>
    </w:p>
    <w:p w:rsidR="00B7292F" w:rsidRDefault="00B7292F">
      <w:r>
        <w:t xml:space="preserve">Year 5 &amp; 6 Timetable (Self Isolating – Class </w:t>
      </w:r>
      <w:proofErr w:type="gramStart"/>
      <w:r>
        <w:t>Bubble ,</w:t>
      </w:r>
      <w:proofErr w:type="gramEnd"/>
      <w:r>
        <w:t xml:space="preserve"> UKS2, Whole School)</w:t>
      </w:r>
    </w:p>
    <w:p w:rsidR="00B7292F" w:rsidRDefault="00B72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015"/>
        <w:gridCol w:w="2015"/>
        <w:gridCol w:w="2086"/>
        <w:gridCol w:w="2034"/>
        <w:gridCol w:w="1972"/>
      </w:tblGrid>
      <w:tr w:rsidR="00DA37BE" w:rsidTr="00DA37BE">
        <w:tc>
          <w:tcPr>
            <w:tcW w:w="1977" w:type="dxa"/>
          </w:tcPr>
          <w:p w:rsidR="00DA37BE" w:rsidRDefault="00DA37BE"/>
          <w:p w:rsidR="00DA37BE" w:rsidRDefault="00DA37BE"/>
          <w:p w:rsidR="00DA37BE" w:rsidRDefault="00DA37BE"/>
          <w:p w:rsidR="00DA37BE" w:rsidRDefault="00DA37BE"/>
        </w:tc>
        <w:tc>
          <w:tcPr>
            <w:tcW w:w="2015" w:type="dxa"/>
          </w:tcPr>
          <w:p w:rsidR="00DA37BE" w:rsidRDefault="00DA37BE">
            <w:r>
              <w:t xml:space="preserve">Monday </w:t>
            </w:r>
          </w:p>
        </w:tc>
        <w:tc>
          <w:tcPr>
            <w:tcW w:w="2015" w:type="dxa"/>
          </w:tcPr>
          <w:p w:rsidR="00DA37BE" w:rsidRDefault="00DA37BE">
            <w:r>
              <w:t xml:space="preserve">Tuesday </w:t>
            </w:r>
          </w:p>
        </w:tc>
        <w:tc>
          <w:tcPr>
            <w:tcW w:w="2086" w:type="dxa"/>
          </w:tcPr>
          <w:p w:rsidR="00DA37BE" w:rsidRDefault="00DA37BE">
            <w:r>
              <w:t xml:space="preserve">Wednesday </w:t>
            </w:r>
          </w:p>
        </w:tc>
        <w:tc>
          <w:tcPr>
            <w:tcW w:w="2034" w:type="dxa"/>
          </w:tcPr>
          <w:p w:rsidR="00DA37BE" w:rsidRDefault="00DA37BE">
            <w:r>
              <w:t xml:space="preserve">Thursday </w:t>
            </w:r>
          </w:p>
        </w:tc>
        <w:tc>
          <w:tcPr>
            <w:tcW w:w="1972" w:type="dxa"/>
          </w:tcPr>
          <w:p w:rsidR="00DA37BE" w:rsidRDefault="00DA37BE">
            <w:r>
              <w:t xml:space="preserve">Friday 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9:00 – 9:15</w:t>
            </w:r>
          </w:p>
        </w:tc>
        <w:tc>
          <w:tcPr>
            <w:tcW w:w="2015" w:type="dxa"/>
          </w:tcPr>
          <w:p w:rsidR="00DA37BE" w:rsidRDefault="00DA37BE" w:rsidP="00DA37BE">
            <w:r>
              <w:t xml:space="preserve">Supermovers </w:t>
            </w:r>
          </w:p>
        </w:tc>
        <w:tc>
          <w:tcPr>
            <w:tcW w:w="2015" w:type="dxa"/>
          </w:tcPr>
          <w:p w:rsidR="00DA37BE" w:rsidRDefault="00DA37BE" w:rsidP="00DA37BE">
            <w:r>
              <w:t xml:space="preserve">Supermovers </w:t>
            </w:r>
          </w:p>
        </w:tc>
        <w:tc>
          <w:tcPr>
            <w:tcW w:w="2086" w:type="dxa"/>
          </w:tcPr>
          <w:p w:rsidR="00DA37BE" w:rsidRDefault="00DA37BE" w:rsidP="00DA37BE">
            <w:r>
              <w:t xml:space="preserve">Supermovers </w:t>
            </w:r>
          </w:p>
        </w:tc>
        <w:tc>
          <w:tcPr>
            <w:tcW w:w="2034" w:type="dxa"/>
          </w:tcPr>
          <w:p w:rsidR="00DA37BE" w:rsidRDefault="00DA37BE" w:rsidP="00DA37BE">
            <w:r>
              <w:t xml:space="preserve">Supermovers </w:t>
            </w:r>
          </w:p>
        </w:tc>
        <w:tc>
          <w:tcPr>
            <w:tcW w:w="1972" w:type="dxa"/>
          </w:tcPr>
          <w:p w:rsidR="00DA37BE" w:rsidRDefault="00DA37BE" w:rsidP="00DA37BE">
            <w:r>
              <w:t xml:space="preserve">Supermovers </w:t>
            </w:r>
          </w:p>
        </w:tc>
      </w:tr>
      <w:tr w:rsidR="00B7292F" w:rsidTr="00B7292F">
        <w:tc>
          <w:tcPr>
            <w:tcW w:w="12099" w:type="dxa"/>
            <w:gridSpan w:val="6"/>
            <w:shd w:val="clear" w:color="auto" w:fill="A8D08D" w:themeFill="accent6" w:themeFillTint="99"/>
          </w:tcPr>
          <w:p w:rsidR="00B7292F" w:rsidRDefault="00B7292F" w:rsidP="00B7292F">
            <w:pPr>
              <w:jc w:val="center"/>
            </w:pPr>
            <w:r w:rsidRPr="00DA37BE">
              <w:rPr>
                <w:b/>
              </w:rPr>
              <w:t>MATHS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9:15 – 10:15</w:t>
            </w:r>
          </w:p>
        </w:tc>
        <w:tc>
          <w:tcPr>
            <w:tcW w:w="2015" w:type="dxa"/>
          </w:tcPr>
          <w:p w:rsidR="00DA37BE" w:rsidRDefault="00DA37BE" w:rsidP="00DA37BE">
            <w:r>
              <w:t xml:space="preserve">Maths (White Rose Maths / </w:t>
            </w:r>
            <w:proofErr w:type="spellStart"/>
            <w:r>
              <w:t>MyMaths</w:t>
            </w:r>
            <w:proofErr w:type="spellEnd"/>
            <w:r>
              <w:t xml:space="preserve"> task) </w:t>
            </w:r>
          </w:p>
        </w:tc>
        <w:tc>
          <w:tcPr>
            <w:tcW w:w="2015" w:type="dxa"/>
          </w:tcPr>
          <w:p w:rsidR="00DA37BE" w:rsidRDefault="00DA37BE" w:rsidP="00DA37BE">
            <w:r>
              <w:t xml:space="preserve">Maths (White Rose Maths / </w:t>
            </w:r>
            <w:proofErr w:type="spellStart"/>
            <w:r>
              <w:t>MyMaths</w:t>
            </w:r>
            <w:proofErr w:type="spellEnd"/>
            <w:r>
              <w:t xml:space="preserve"> task) </w:t>
            </w:r>
          </w:p>
        </w:tc>
        <w:tc>
          <w:tcPr>
            <w:tcW w:w="2086" w:type="dxa"/>
          </w:tcPr>
          <w:p w:rsidR="00DA37BE" w:rsidRDefault="00DA37BE" w:rsidP="00DA37BE">
            <w:r>
              <w:t xml:space="preserve">Maths (White Rose Maths / </w:t>
            </w:r>
            <w:proofErr w:type="spellStart"/>
            <w:r>
              <w:t>MyMaths</w:t>
            </w:r>
            <w:proofErr w:type="spellEnd"/>
            <w:r>
              <w:t xml:space="preserve"> task) </w:t>
            </w:r>
          </w:p>
        </w:tc>
        <w:tc>
          <w:tcPr>
            <w:tcW w:w="2034" w:type="dxa"/>
          </w:tcPr>
          <w:p w:rsidR="00DA37BE" w:rsidRDefault="00DA37BE" w:rsidP="00DA37BE">
            <w:r>
              <w:t xml:space="preserve">Maths (White Rose Maths / </w:t>
            </w:r>
            <w:proofErr w:type="spellStart"/>
            <w:r>
              <w:t>MyMaths</w:t>
            </w:r>
            <w:proofErr w:type="spellEnd"/>
            <w:r>
              <w:t xml:space="preserve"> task) </w:t>
            </w:r>
          </w:p>
        </w:tc>
        <w:tc>
          <w:tcPr>
            <w:tcW w:w="1972" w:type="dxa"/>
          </w:tcPr>
          <w:p w:rsidR="00DA37BE" w:rsidRDefault="00DA37BE" w:rsidP="00DA37BE">
            <w:r>
              <w:t xml:space="preserve">Maths (White Rose Maths / </w:t>
            </w:r>
            <w:proofErr w:type="spellStart"/>
            <w:r>
              <w:t>MyMaths</w:t>
            </w:r>
            <w:proofErr w:type="spellEnd"/>
            <w:r>
              <w:t xml:space="preserve"> task) 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10:15 – 10:30</w:t>
            </w:r>
          </w:p>
        </w:tc>
        <w:tc>
          <w:tcPr>
            <w:tcW w:w="2015" w:type="dxa"/>
          </w:tcPr>
          <w:p w:rsidR="00DA37BE" w:rsidRDefault="00DA37BE" w:rsidP="00DA37BE">
            <w:r>
              <w:t>Break</w:t>
            </w:r>
          </w:p>
        </w:tc>
        <w:tc>
          <w:tcPr>
            <w:tcW w:w="2015" w:type="dxa"/>
          </w:tcPr>
          <w:p w:rsidR="00DA37BE" w:rsidRDefault="00DA37BE" w:rsidP="00DA37BE">
            <w:r>
              <w:t>Break</w:t>
            </w:r>
          </w:p>
        </w:tc>
        <w:tc>
          <w:tcPr>
            <w:tcW w:w="2086" w:type="dxa"/>
          </w:tcPr>
          <w:p w:rsidR="00DA37BE" w:rsidRDefault="00DA37BE" w:rsidP="00DA37BE">
            <w:r>
              <w:t>Break</w:t>
            </w:r>
          </w:p>
        </w:tc>
        <w:tc>
          <w:tcPr>
            <w:tcW w:w="2034" w:type="dxa"/>
          </w:tcPr>
          <w:p w:rsidR="00DA37BE" w:rsidRDefault="00DA37BE" w:rsidP="00DA37BE">
            <w:r>
              <w:t>Break</w:t>
            </w:r>
          </w:p>
        </w:tc>
        <w:tc>
          <w:tcPr>
            <w:tcW w:w="1972" w:type="dxa"/>
          </w:tcPr>
          <w:p w:rsidR="00DA37BE" w:rsidRDefault="00DA37BE" w:rsidP="00DA37BE">
            <w:r>
              <w:t>Break</w:t>
            </w:r>
          </w:p>
        </w:tc>
      </w:tr>
      <w:tr w:rsidR="00B7292F" w:rsidTr="00B7292F">
        <w:tc>
          <w:tcPr>
            <w:tcW w:w="12099" w:type="dxa"/>
            <w:gridSpan w:val="6"/>
            <w:shd w:val="clear" w:color="auto" w:fill="A8D08D" w:themeFill="accent6" w:themeFillTint="99"/>
          </w:tcPr>
          <w:p w:rsidR="00B7292F" w:rsidRDefault="00B7292F" w:rsidP="00B7292F">
            <w:pPr>
              <w:jc w:val="center"/>
            </w:pPr>
            <w:r w:rsidRPr="00DA37BE">
              <w:rPr>
                <w:b/>
              </w:rPr>
              <w:t>ENGLISH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10:30 – 10:45</w:t>
            </w:r>
          </w:p>
        </w:tc>
        <w:tc>
          <w:tcPr>
            <w:tcW w:w="2015" w:type="dxa"/>
          </w:tcPr>
          <w:p w:rsidR="00DA37BE" w:rsidRDefault="00DA37BE" w:rsidP="00DA37BE">
            <w:r>
              <w:t>Spelling /Grammar</w:t>
            </w:r>
          </w:p>
        </w:tc>
        <w:tc>
          <w:tcPr>
            <w:tcW w:w="2015" w:type="dxa"/>
          </w:tcPr>
          <w:p w:rsidR="00DA37BE" w:rsidRDefault="00DA37BE" w:rsidP="00DA37BE">
            <w:r>
              <w:t>Spelling /Grammar</w:t>
            </w:r>
          </w:p>
        </w:tc>
        <w:tc>
          <w:tcPr>
            <w:tcW w:w="2086" w:type="dxa"/>
          </w:tcPr>
          <w:p w:rsidR="00DA37BE" w:rsidRDefault="00DA37BE" w:rsidP="00DA37BE">
            <w:r>
              <w:t>Spelling/Grammar</w:t>
            </w:r>
          </w:p>
        </w:tc>
        <w:tc>
          <w:tcPr>
            <w:tcW w:w="2034" w:type="dxa"/>
          </w:tcPr>
          <w:p w:rsidR="00DA37BE" w:rsidRDefault="00DA37BE" w:rsidP="00DA37BE">
            <w:r>
              <w:t>Spelling</w:t>
            </w:r>
          </w:p>
        </w:tc>
        <w:tc>
          <w:tcPr>
            <w:tcW w:w="1972" w:type="dxa"/>
          </w:tcPr>
          <w:p w:rsidR="00DA37BE" w:rsidRDefault="00DA37BE" w:rsidP="00DA37BE">
            <w:r>
              <w:t>Words of the Week</w:t>
            </w:r>
          </w:p>
          <w:p w:rsidR="00DA37BE" w:rsidRDefault="00DA37BE" w:rsidP="00DA37BE"/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10:45 – 11:00</w:t>
            </w:r>
          </w:p>
        </w:tc>
        <w:tc>
          <w:tcPr>
            <w:tcW w:w="2015" w:type="dxa"/>
          </w:tcPr>
          <w:p w:rsidR="00DA37BE" w:rsidRDefault="00DA37BE" w:rsidP="00DA37BE">
            <w:r>
              <w:t xml:space="preserve">Reading Plus </w:t>
            </w:r>
          </w:p>
        </w:tc>
        <w:tc>
          <w:tcPr>
            <w:tcW w:w="2015" w:type="dxa"/>
          </w:tcPr>
          <w:p w:rsidR="00DA37BE" w:rsidRDefault="00DA37BE" w:rsidP="00DA37BE">
            <w:r>
              <w:t>Reading Plus</w:t>
            </w:r>
          </w:p>
        </w:tc>
        <w:tc>
          <w:tcPr>
            <w:tcW w:w="2086" w:type="dxa"/>
          </w:tcPr>
          <w:p w:rsidR="00DA37BE" w:rsidRDefault="00DA37BE" w:rsidP="00DA37BE">
            <w:r>
              <w:t>Reading Plus</w:t>
            </w:r>
          </w:p>
        </w:tc>
        <w:tc>
          <w:tcPr>
            <w:tcW w:w="2034" w:type="dxa"/>
          </w:tcPr>
          <w:p w:rsidR="00DA37BE" w:rsidRDefault="00DA37BE" w:rsidP="00DA37BE">
            <w:r>
              <w:t>Reading Plus</w:t>
            </w:r>
          </w:p>
        </w:tc>
        <w:tc>
          <w:tcPr>
            <w:tcW w:w="1972" w:type="dxa"/>
          </w:tcPr>
          <w:p w:rsidR="00DA37BE" w:rsidRDefault="00DA37BE" w:rsidP="00DA37BE">
            <w:r>
              <w:t>Reading Plus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11:00 – 12:00</w:t>
            </w:r>
          </w:p>
        </w:tc>
        <w:tc>
          <w:tcPr>
            <w:tcW w:w="2015" w:type="dxa"/>
          </w:tcPr>
          <w:p w:rsidR="00DA37BE" w:rsidRDefault="00DA37BE" w:rsidP="00DA37BE">
            <w:r>
              <w:t>Novel</w:t>
            </w:r>
          </w:p>
        </w:tc>
        <w:tc>
          <w:tcPr>
            <w:tcW w:w="2015" w:type="dxa"/>
          </w:tcPr>
          <w:p w:rsidR="00DA37BE" w:rsidRDefault="00DA37BE" w:rsidP="00DA37BE">
            <w:r>
              <w:t>Novel</w:t>
            </w:r>
          </w:p>
        </w:tc>
        <w:tc>
          <w:tcPr>
            <w:tcW w:w="2086" w:type="dxa"/>
          </w:tcPr>
          <w:p w:rsidR="00DA37BE" w:rsidRDefault="00DA37BE" w:rsidP="00DA37BE">
            <w:r>
              <w:t>Novel</w:t>
            </w:r>
          </w:p>
        </w:tc>
        <w:tc>
          <w:tcPr>
            <w:tcW w:w="2034" w:type="dxa"/>
          </w:tcPr>
          <w:p w:rsidR="00DA37BE" w:rsidRDefault="00DA37BE" w:rsidP="00DA37BE">
            <w:r>
              <w:t>Grammar</w:t>
            </w:r>
          </w:p>
        </w:tc>
        <w:tc>
          <w:tcPr>
            <w:tcW w:w="1972" w:type="dxa"/>
          </w:tcPr>
          <w:p w:rsidR="00DA37BE" w:rsidRDefault="00DA37BE" w:rsidP="00DA37BE">
            <w:r>
              <w:t>Writing Task</w:t>
            </w:r>
          </w:p>
        </w:tc>
      </w:tr>
      <w:tr w:rsidR="00DA37BE" w:rsidTr="00DA37BE">
        <w:tc>
          <w:tcPr>
            <w:tcW w:w="1977" w:type="dxa"/>
          </w:tcPr>
          <w:p w:rsidR="00DA37BE" w:rsidRDefault="00DA37BE" w:rsidP="00DA37BE">
            <w:r>
              <w:t>12:00 -  1:00</w:t>
            </w:r>
          </w:p>
        </w:tc>
        <w:tc>
          <w:tcPr>
            <w:tcW w:w="2015" w:type="dxa"/>
          </w:tcPr>
          <w:p w:rsidR="00DA37BE" w:rsidRDefault="00DA37BE" w:rsidP="00DA37BE">
            <w:r>
              <w:t>Lunch</w:t>
            </w:r>
          </w:p>
        </w:tc>
        <w:tc>
          <w:tcPr>
            <w:tcW w:w="2015" w:type="dxa"/>
          </w:tcPr>
          <w:p w:rsidR="00DA37BE" w:rsidRDefault="00DA37BE" w:rsidP="00DA37BE">
            <w:r>
              <w:t>Lunch</w:t>
            </w:r>
          </w:p>
        </w:tc>
        <w:tc>
          <w:tcPr>
            <w:tcW w:w="2086" w:type="dxa"/>
          </w:tcPr>
          <w:p w:rsidR="00DA37BE" w:rsidRDefault="00DA37BE" w:rsidP="00DA37BE">
            <w:r>
              <w:t>Lunch</w:t>
            </w:r>
          </w:p>
        </w:tc>
        <w:tc>
          <w:tcPr>
            <w:tcW w:w="2034" w:type="dxa"/>
          </w:tcPr>
          <w:p w:rsidR="00DA37BE" w:rsidRDefault="00DA37BE" w:rsidP="00DA37BE">
            <w:r>
              <w:t>Lunch</w:t>
            </w:r>
          </w:p>
        </w:tc>
        <w:tc>
          <w:tcPr>
            <w:tcW w:w="1972" w:type="dxa"/>
          </w:tcPr>
          <w:p w:rsidR="00DA37BE" w:rsidRDefault="00DA37BE" w:rsidP="00DA37BE">
            <w:r>
              <w:t>Lunch</w:t>
            </w:r>
          </w:p>
        </w:tc>
      </w:tr>
      <w:tr w:rsidR="00B7292F" w:rsidTr="00B7292F">
        <w:tc>
          <w:tcPr>
            <w:tcW w:w="12099" w:type="dxa"/>
            <w:gridSpan w:val="6"/>
            <w:shd w:val="clear" w:color="auto" w:fill="A8D08D" w:themeFill="accent6" w:themeFillTint="99"/>
          </w:tcPr>
          <w:p w:rsidR="00B7292F" w:rsidRPr="00B7292F" w:rsidRDefault="00B7292F" w:rsidP="00B7292F">
            <w:pPr>
              <w:jc w:val="center"/>
              <w:rPr>
                <w:b/>
              </w:rPr>
            </w:pPr>
            <w:r w:rsidRPr="00B7292F">
              <w:rPr>
                <w:b/>
              </w:rPr>
              <w:t>Foundation Subjects</w:t>
            </w:r>
            <w:r>
              <w:rPr>
                <w:b/>
              </w:rPr>
              <w:t xml:space="preserve"> and Science</w:t>
            </w:r>
          </w:p>
        </w:tc>
      </w:tr>
      <w:tr w:rsidR="00B7292F" w:rsidTr="00DA37BE">
        <w:tc>
          <w:tcPr>
            <w:tcW w:w="1977" w:type="dxa"/>
            <w:vMerge w:val="restart"/>
          </w:tcPr>
          <w:p w:rsidR="00B7292F" w:rsidRDefault="00B7292F" w:rsidP="00DA37BE">
            <w:r>
              <w:t>1:00 – 2:00</w:t>
            </w:r>
          </w:p>
        </w:tc>
        <w:tc>
          <w:tcPr>
            <w:tcW w:w="2015" w:type="dxa"/>
            <w:vMerge w:val="restart"/>
          </w:tcPr>
          <w:p w:rsidR="00B7292F" w:rsidRDefault="00B7292F" w:rsidP="00DA37BE">
            <w:r>
              <w:t>History/ Geography</w:t>
            </w:r>
          </w:p>
        </w:tc>
        <w:tc>
          <w:tcPr>
            <w:tcW w:w="2015" w:type="dxa"/>
            <w:vMerge w:val="restart"/>
          </w:tcPr>
          <w:p w:rsidR="00B7292F" w:rsidRDefault="00B7292F" w:rsidP="00DA37BE">
            <w:r>
              <w:t>Art/DT</w:t>
            </w:r>
          </w:p>
        </w:tc>
        <w:tc>
          <w:tcPr>
            <w:tcW w:w="2086" w:type="dxa"/>
          </w:tcPr>
          <w:p w:rsidR="00B7292F" w:rsidRDefault="00B7292F" w:rsidP="00DA37BE">
            <w:r>
              <w:t>1:00 – 1:30 RE</w:t>
            </w:r>
          </w:p>
        </w:tc>
        <w:tc>
          <w:tcPr>
            <w:tcW w:w="2034" w:type="dxa"/>
            <w:vMerge w:val="restart"/>
          </w:tcPr>
          <w:p w:rsidR="00B7292F" w:rsidRDefault="00B7292F" w:rsidP="00DA37BE">
            <w:r>
              <w:t>PSHE</w:t>
            </w:r>
          </w:p>
        </w:tc>
        <w:tc>
          <w:tcPr>
            <w:tcW w:w="1972" w:type="dxa"/>
            <w:vMerge w:val="restart"/>
          </w:tcPr>
          <w:p w:rsidR="00B7292F" w:rsidRDefault="00B7292F" w:rsidP="00DA37BE">
            <w:r>
              <w:t>Computing</w:t>
            </w:r>
          </w:p>
        </w:tc>
      </w:tr>
      <w:tr w:rsidR="00B7292F" w:rsidTr="00DA37BE">
        <w:tc>
          <w:tcPr>
            <w:tcW w:w="1977" w:type="dxa"/>
            <w:vMerge/>
          </w:tcPr>
          <w:p w:rsidR="00B7292F" w:rsidRDefault="00B7292F" w:rsidP="00DA37BE"/>
        </w:tc>
        <w:tc>
          <w:tcPr>
            <w:tcW w:w="2015" w:type="dxa"/>
            <w:vMerge/>
          </w:tcPr>
          <w:p w:rsidR="00B7292F" w:rsidRDefault="00B7292F" w:rsidP="00DA37BE"/>
        </w:tc>
        <w:tc>
          <w:tcPr>
            <w:tcW w:w="2015" w:type="dxa"/>
            <w:vMerge/>
          </w:tcPr>
          <w:p w:rsidR="00B7292F" w:rsidRDefault="00B7292F" w:rsidP="00DA37BE"/>
        </w:tc>
        <w:tc>
          <w:tcPr>
            <w:tcW w:w="2086" w:type="dxa"/>
          </w:tcPr>
          <w:p w:rsidR="00B7292F" w:rsidRDefault="00B7292F" w:rsidP="00DA37BE">
            <w:r>
              <w:t>1:30 – 2:00 French</w:t>
            </w:r>
          </w:p>
        </w:tc>
        <w:tc>
          <w:tcPr>
            <w:tcW w:w="2034" w:type="dxa"/>
            <w:vMerge/>
          </w:tcPr>
          <w:p w:rsidR="00B7292F" w:rsidRDefault="00B7292F" w:rsidP="00DA37BE"/>
        </w:tc>
        <w:tc>
          <w:tcPr>
            <w:tcW w:w="1972" w:type="dxa"/>
            <w:vMerge/>
          </w:tcPr>
          <w:p w:rsidR="00B7292F" w:rsidRDefault="00B7292F" w:rsidP="00DA37BE"/>
        </w:tc>
      </w:tr>
      <w:tr w:rsidR="00B7292F" w:rsidTr="00DA37BE">
        <w:tc>
          <w:tcPr>
            <w:tcW w:w="1977" w:type="dxa"/>
          </w:tcPr>
          <w:p w:rsidR="00B7292F" w:rsidRDefault="00B7292F" w:rsidP="00DA37BE">
            <w:r>
              <w:t>2:00 – 3:00</w:t>
            </w:r>
          </w:p>
        </w:tc>
        <w:tc>
          <w:tcPr>
            <w:tcW w:w="2015" w:type="dxa"/>
          </w:tcPr>
          <w:p w:rsidR="00B7292F" w:rsidRDefault="00B7292F" w:rsidP="00DA37BE">
            <w:r>
              <w:t>Reading for Pleasure</w:t>
            </w:r>
          </w:p>
        </w:tc>
        <w:tc>
          <w:tcPr>
            <w:tcW w:w="2015" w:type="dxa"/>
          </w:tcPr>
          <w:p w:rsidR="00B7292F" w:rsidRDefault="00B7292F" w:rsidP="00DA37BE">
            <w:r>
              <w:t xml:space="preserve">Music </w:t>
            </w:r>
          </w:p>
        </w:tc>
        <w:tc>
          <w:tcPr>
            <w:tcW w:w="2086" w:type="dxa"/>
          </w:tcPr>
          <w:p w:rsidR="00B7292F" w:rsidRDefault="00C25590" w:rsidP="00DA37BE">
            <w:r>
              <w:t>Reading for Pleasure</w:t>
            </w:r>
          </w:p>
        </w:tc>
        <w:tc>
          <w:tcPr>
            <w:tcW w:w="2034" w:type="dxa"/>
          </w:tcPr>
          <w:p w:rsidR="00B7292F" w:rsidRDefault="00B7292F" w:rsidP="00DA37BE">
            <w:r>
              <w:t>Science</w:t>
            </w:r>
          </w:p>
        </w:tc>
        <w:tc>
          <w:tcPr>
            <w:tcW w:w="1972" w:type="dxa"/>
          </w:tcPr>
          <w:p w:rsidR="00B7292F" w:rsidRDefault="00B7292F" w:rsidP="00DA37BE">
            <w:r>
              <w:t>Golden Time</w:t>
            </w:r>
          </w:p>
        </w:tc>
      </w:tr>
    </w:tbl>
    <w:p w:rsidR="00381A9A" w:rsidRDefault="00381A9A"/>
    <w:p w:rsidR="00B7292F" w:rsidRDefault="00B7292F"/>
    <w:p w:rsidR="00B7292F" w:rsidRDefault="00B7292F">
      <w:r>
        <w:br w:type="page"/>
      </w:r>
    </w:p>
    <w:p w:rsidR="00B7292F" w:rsidRDefault="00B7292F">
      <w:pPr>
        <w:sectPr w:rsidR="00B7292F" w:rsidSect="00DA37B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7292F" w:rsidRDefault="00B7292F">
      <w:r>
        <w:lastRenderedPageBreak/>
        <w:t xml:space="preserve">Curriculum Meeting (30- 09 – 2020) Year 5 &amp; 6     </w:t>
      </w:r>
    </w:p>
    <w:p w:rsidR="00B7292F" w:rsidRDefault="00B7292F">
      <w:r>
        <w:t>We discussed a timetable for Year 5 &amp; 6</w:t>
      </w:r>
      <w:r w:rsidR="00381A9A">
        <w:t xml:space="preserve"> classes should classes go into ‘lockdown/self-isolation’ (see above)</w:t>
      </w:r>
    </w:p>
    <w:p w:rsidR="00381A9A" w:rsidRDefault="00381A9A">
      <w:r>
        <w:t>We suggest the following:</w:t>
      </w:r>
    </w:p>
    <w:p w:rsidR="00381A9A" w:rsidRDefault="00381A9A" w:rsidP="007A6387">
      <w:pPr>
        <w:pStyle w:val="ListParagraph"/>
        <w:numPr>
          <w:ilvl w:val="0"/>
          <w:numId w:val="1"/>
        </w:numPr>
      </w:pPr>
      <w:r>
        <w:t>Training</w:t>
      </w:r>
      <w:r w:rsidR="007A6387">
        <w:t xml:space="preserve"> should be given re G</w:t>
      </w:r>
      <w:r>
        <w:t>oogle Classrooms so teachers know how to use it effecti</w:t>
      </w:r>
      <w:r w:rsidR="007A6387">
        <w:t>vely. Some staff do not want to</w:t>
      </w:r>
      <w:r>
        <w:t xml:space="preserve"> record lessons or give live lessons.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>Teachers to try to align home learning with what is being taught in class.</w:t>
      </w:r>
    </w:p>
    <w:p w:rsidR="007A6387" w:rsidRDefault="007A6387" w:rsidP="007A6387">
      <w:pPr>
        <w:pStyle w:val="ListParagraph"/>
        <w:numPr>
          <w:ilvl w:val="0"/>
          <w:numId w:val="1"/>
        </w:numPr>
      </w:pPr>
      <w:r>
        <w:t xml:space="preserve">Home packs should be distributed as a last resort- darker nights are drawing nearer – is it safe for teachers to be dropping packs off on their way home during the evening? (solution – deliver </w:t>
      </w:r>
      <w:r w:rsidR="00742A68">
        <w:t>via school bus during the day if learning cannot be done online</w:t>
      </w:r>
      <w:r>
        <w:t xml:space="preserve">) </w:t>
      </w:r>
    </w:p>
    <w:p w:rsidR="007A6387" w:rsidRDefault="007A6387" w:rsidP="007A6387">
      <w:pPr>
        <w:pStyle w:val="ListParagraph"/>
        <w:numPr>
          <w:ilvl w:val="0"/>
          <w:numId w:val="1"/>
        </w:numPr>
      </w:pPr>
      <w:r>
        <w:t>Devices for children self-isolating, who do not have access to one need to be made available – how will this impact on class teaching?</w:t>
      </w:r>
    </w:p>
    <w:p w:rsidR="007A6387" w:rsidRDefault="007A6387" w:rsidP="007A6387">
      <w:pPr>
        <w:pStyle w:val="ListParagraph"/>
        <w:numPr>
          <w:ilvl w:val="0"/>
          <w:numId w:val="1"/>
        </w:numPr>
      </w:pPr>
      <w:r>
        <w:t xml:space="preserve">School to arrange for </w:t>
      </w:r>
      <w:proofErr w:type="spellStart"/>
      <w:proofErr w:type="gramStart"/>
      <w:r>
        <w:t>Wifi</w:t>
      </w:r>
      <w:proofErr w:type="spellEnd"/>
      <w:r>
        <w:t xml:space="preserve">  connection</w:t>
      </w:r>
      <w:proofErr w:type="gramEnd"/>
      <w:r>
        <w:t xml:space="preserve"> for self-isolators where there </w:t>
      </w:r>
      <w:r w:rsidR="00742A68">
        <w:t xml:space="preserve">is no </w:t>
      </w:r>
      <w:proofErr w:type="spellStart"/>
      <w:r w:rsidR="00742A68">
        <w:t>Wifi</w:t>
      </w:r>
      <w:proofErr w:type="spellEnd"/>
      <w:r w:rsidR="00742A68">
        <w:t xml:space="preserve"> at ho</w:t>
      </w:r>
      <w:r>
        <w:t>m</w:t>
      </w:r>
      <w:r w:rsidR="00742A68">
        <w:t>e</w:t>
      </w:r>
      <w:r>
        <w:t xml:space="preserve"> – how will we ensure we are not liable for any content that is not appropriate/ downloading of inappropriate apps etc…?</w:t>
      </w:r>
    </w:p>
    <w:p w:rsidR="007A6387" w:rsidRDefault="007A6387" w:rsidP="007A6387">
      <w:pPr>
        <w:pStyle w:val="ListParagraph"/>
        <w:numPr>
          <w:ilvl w:val="0"/>
          <w:numId w:val="1"/>
        </w:numPr>
      </w:pPr>
      <w:r>
        <w:t>Generic letter to be sent to all parents/carers re what to do should children be self-isolating. Letter to refer parents/carers to: Oak National Academy</w:t>
      </w:r>
      <w:r w:rsidR="00742A68">
        <w:t xml:space="preserve">, </w:t>
      </w:r>
      <w:proofErr w:type="spellStart"/>
      <w:r w:rsidR="00742A68">
        <w:t>TTRockstars</w:t>
      </w:r>
      <w:proofErr w:type="spellEnd"/>
      <w:r w:rsidR="00742A68">
        <w:t xml:space="preserve"> and Reading Plus initially. </w:t>
      </w:r>
      <w:r>
        <w:t>Teachers will be in touch with work for the children. Teachers feel that valuable time is being taken up emailing, preparing work for children who are presumed to be self-isolating but return to school after two/three days after someone at home tests negative.</w:t>
      </w:r>
    </w:p>
    <w:p w:rsidR="007A6387" w:rsidRDefault="007A6387" w:rsidP="007A6387">
      <w:pPr>
        <w:pStyle w:val="ListParagraph"/>
        <w:numPr>
          <w:ilvl w:val="0"/>
          <w:numId w:val="1"/>
        </w:numPr>
      </w:pPr>
      <w:r>
        <w:t xml:space="preserve">Generic letter to contain all passwords – TTR, Reading Plus, </w:t>
      </w:r>
      <w:proofErr w:type="spellStart"/>
      <w:r>
        <w:t>MyMaths</w:t>
      </w:r>
      <w:proofErr w:type="spellEnd"/>
      <w:r>
        <w:t>, Ed City etc. – T</w:t>
      </w:r>
      <w:r w:rsidR="005E7C85">
        <w:t>As</w:t>
      </w:r>
      <w:r>
        <w:t xml:space="preserve"> could prepare these in advance.</w:t>
      </w:r>
    </w:p>
    <w:p w:rsidR="007A6387" w:rsidRDefault="00742A68" w:rsidP="007A6387">
      <w:pPr>
        <w:pStyle w:val="ListParagraph"/>
        <w:numPr>
          <w:ilvl w:val="0"/>
          <w:numId w:val="1"/>
        </w:numPr>
      </w:pPr>
      <w:r>
        <w:t>School office to phone parents/carers who have not returned device forms. Forms with child</w:t>
      </w:r>
      <w:r w:rsidR="005E7C85">
        <w:t>’</w:t>
      </w:r>
      <w:r>
        <w:t>s name and class to be given to school office to be completed via telephone so we have a completely up to</w:t>
      </w:r>
      <w:r w:rsidR="005E7C85">
        <w:t xml:space="preserve"> </w:t>
      </w:r>
      <w:r>
        <w:t>date picture of who will need a device should we go into full or partial lockdown or self-isolators.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>English Lead/class teachers to check Liverpool Library Services to see if our class novels are available from the online lending library.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>Class novels to go home should there be a full or partial lockdown so each child has a copy at home- parents to be advised that if books do not return, they will be required to replace them.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>Stationery packs to be prepared in advance containing – pen, pencil, eraser, ruler, maths book, writing book – to be placed in ‘zippy’ bags and labelled with child’s name ready to go.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 xml:space="preserve"> Teachers to download teaching PowerPoints from White Rose Maths as they are not available all year round – </w:t>
      </w:r>
      <w:proofErr w:type="gramStart"/>
      <w:r>
        <w:t>3 month</w:t>
      </w:r>
      <w:proofErr w:type="gramEnd"/>
      <w:r>
        <w:t xml:space="preserve"> window. These can be emailed to parents should they need to be.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 xml:space="preserve">Phil willing to work with each band and provide/produce online music lessons – Phil to think about how he would do this and </w:t>
      </w:r>
      <w:proofErr w:type="spellStart"/>
      <w:r>
        <w:t>feed back</w:t>
      </w:r>
      <w:proofErr w:type="spellEnd"/>
      <w:r>
        <w:t>.</w:t>
      </w:r>
    </w:p>
    <w:p w:rsidR="00742A68" w:rsidRDefault="00742A68" w:rsidP="007A6387">
      <w:pPr>
        <w:pStyle w:val="ListParagraph"/>
        <w:numPr>
          <w:ilvl w:val="0"/>
          <w:numId w:val="1"/>
        </w:numPr>
      </w:pPr>
      <w:r>
        <w:t>Are parents/carers liable for ensuring their children complete any work sent?</w:t>
      </w:r>
    </w:p>
    <w:p w:rsidR="007A6387" w:rsidRDefault="007A6387"/>
    <w:p w:rsidR="00381A9A" w:rsidRDefault="00381A9A"/>
    <w:p w:rsidR="00381A9A" w:rsidRDefault="00381A9A"/>
    <w:sectPr w:rsidR="00381A9A" w:rsidSect="00B7292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989"/>
    <w:multiLevelType w:val="hybridMultilevel"/>
    <w:tmpl w:val="3EFC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BE"/>
    <w:rsid w:val="001B36A8"/>
    <w:rsid w:val="00301673"/>
    <w:rsid w:val="00381A9A"/>
    <w:rsid w:val="005E7C85"/>
    <w:rsid w:val="00742A68"/>
    <w:rsid w:val="0078424E"/>
    <w:rsid w:val="007A6387"/>
    <w:rsid w:val="008638C3"/>
    <w:rsid w:val="00B7292F"/>
    <w:rsid w:val="00C25590"/>
    <w:rsid w:val="00D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FB3F-65CB-49D5-A5FF-08A88936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cp:lastPrinted>2020-10-01T13:12:00Z</cp:lastPrinted>
  <dcterms:created xsi:type="dcterms:W3CDTF">2020-11-04T10:33:00Z</dcterms:created>
  <dcterms:modified xsi:type="dcterms:W3CDTF">2020-11-04T10:33:00Z</dcterms:modified>
</cp:coreProperties>
</file>